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834CA9">
      <w:pPr>
        <w:jc w:val="center"/>
        <w:rPr>
          <w:b/>
          <w:sz w:val="32"/>
          <w:szCs w:val="32"/>
        </w:rPr>
      </w:pPr>
      <w:r>
        <w:rPr>
          <w:rFonts w:hint="eastAsia"/>
          <w:b/>
          <w:sz w:val="32"/>
          <w:szCs w:val="32"/>
        </w:rPr>
        <w:t>采购需求（服务类）</w:t>
      </w:r>
    </w:p>
    <w:p w14:paraId="357ACBA8">
      <w:pPr>
        <w:rPr>
          <w:b/>
        </w:rPr>
      </w:pPr>
      <w:bookmarkStart w:id="0" w:name="OLE_LINK1"/>
      <w:r>
        <w:rPr>
          <w:b/>
        </w:rPr>
        <w:t>一、概况</w:t>
      </w:r>
    </w:p>
    <w:tbl>
      <w:tblPr>
        <w:tblStyle w:val="7"/>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458"/>
      </w:tblGrid>
      <w:tr w14:paraId="7B824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2871DD37">
            <w:pPr>
              <w:jc w:val="center"/>
              <w:rPr>
                <w:b/>
                <w:bCs/>
              </w:rPr>
            </w:pPr>
            <w:r>
              <w:rPr>
                <w:b/>
                <w:bCs/>
              </w:rPr>
              <w:t>项目名称</w:t>
            </w:r>
          </w:p>
        </w:tc>
        <w:tc>
          <w:tcPr>
            <w:tcW w:w="6458" w:type="dxa"/>
          </w:tcPr>
          <w:p w14:paraId="04F03773">
            <w:r>
              <w:rPr>
                <w:rFonts w:hint="eastAsia" w:asciiTheme="minorHAnsi" w:hAnsiTheme="minorHAnsi" w:eastAsiaTheme="minorEastAsia" w:cstheme="minorBidi"/>
                <w:kern w:val="2"/>
                <w:sz w:val="21"/>
                <w:szCs w:val="22"/>
                <w:highlight w:val="none"/>
                <w:lang w:val="en-US" w:eastAsia="zh-CN" w:bidi="ar"/>
              </w:rPr>
              <w:t>浙江水利水电学院2026年核心网络安全设备维保项目</w:t>
            </w:r>
          </w:p>
        </w:tc>
      </w:tr>
      <w:tr w14:paraId="007AF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4A1E0531">
            <w:pPr>
              <w:jc w:val="center"/>
              <w:rPr>
                <w:rFonts w:hint="eastAsia" w:eastAsiaTheme="minorEastAsia"/>
                <w:b/>
                <w:bCs/>
                <w:lang w:eastAsia="zh-CN"/>
              </w:rPr>
            </w:pPr>
            <w:r>
              <w:rPr>
                <w:rFonts w:hint="eastAsia"/>
                <w:b/>
                <w:bCs/>
              </w:rPr>
              <w:t>项目描述</w:t>
            </w:r>
          </w:p>
        </w:tc>
        <w:tc>
          <w:tcPr>
            <w:tcW w:w="6458" w:type="dxa"/>
          </w:tcPr>
          <w:p w14:paraId="3750D12D">
            <w:pPr>
              <w:widowControl/>
              <w:spacing w:line="0" w:lineRule="atLeast"/>
              <w:jc w:val="left"/>
              <w:rPr>
                <w:rFonts w:hint="eastAsia" w:eastAsiaTheme="minorEastAsia"/>
                <w:lang w:val="en-US" w:eastAsia="zh-CN"/>
              </w:rPr>
            </w:pPr>
            <w:r>
              <w:rPr>
                <w:rFonts w:hint="eastAsia"/>
                <w:lang w:val="en-US" w:eastAsia="zh-CN"/>
              </w:rPr>
              <w:t>为学校</w:t>
            </w:r>
            <w:r>
              <w:rPr>
                <w:rFonts w:hint="eastAsia" w:asciiTheme="minorHAnsi" w:hAnsiTheme="minorHAnsi" w:eastAsiaTheme="minorEastAsia" w:cstheme="minorBidi"/>
                <w:kern w:val="2"/>
                <w:sz w:val="21"/>
                <w:szCs w:val="22"/>
                <w:highlight w:val="none"/>
                <w:lang w:val="en-US" w:eastAsia="zh-CN" w:bidi="ar"/>
              </w:rPr>
              <w:t>为2台防火墙、Web应用防火墙（WAF）、</w:t>
            </w:r>
            <w:r>
              <w:rPr>
                <w:rFonts w:hint="eastAsia"/>
                <w:sz w:val="21"/>
                <w:szCs w:val="22"/>
                <w:highlight w:val="none"/>
                <w:lang w:val="en-US" w:eastAsia="zh-CN"/>
              </w:rPr>
              <w:t>EDR管理系统</w:t>
            </w:r>
            <w:r>
              <w:rPr>
                <w:rFonts w:hint="eastAsia" w:asciiTheme="minorHAnsi" w:hAnsiTheme="minorHAnsi" w:eastAsiaTheme="minorEastAsia" w:cstheme="minorBidi"/>
                <w:kern w:val="2"/>
                <w:sz w:val="21"/>
                <w:szCs w:val="22"/>
                <w:highlight w:val="none"/>
                <w:lang w:val="en-US" w:eastAsia="zh-CN" w:bidi="ar"/>
              </w:rPr>
              <w:t>、网络全流量溯源分析系统5台安全设备提供原厂软硬件维保及许可授权。</w:t>
            </w:r>
          </w:p>
        </w:tc>
      </w:tr>
      <w:tr w14:paraId="1C72A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2AC8D45E">
            <w:pPr>
              <w:jc w:val="center"/>
              <w:rPr>
                <w:rFonts w:hint="eastAsia"/>
                <w:b/>
                <w:bCs/>
                <w:highlight w:val="none"/>
              </w:rPr>
            </w:pPr>
            <w:r>
              <w:rPr>
                <w:rFonts w:hint="eastAsia"/>
                <w:b/>
                <w:bCs/>
                <w:highlight w:val="none"/>
              </w:rPr>
              <w:t>预算金额（万）</w:t>
            </w:r>
          </w:p>
        </w:tc>
        <w:tc>
          <w:tcPr>
            <w:tcW w:w="6458" w:type="dxa"/>
          </w:tcPr>
          <w:p w14:paraId="6FFE6CD1">
            <w:pPr>
              <w:rPr>
                <w:rFonts w:hint="default" w:eastAsiaTheme="minorEastAsia"/>
                <w:highlight w:val="none"/>
                <w:lang w:val="en-US" w:eastAsia="zh-CN"/>
              </w:rPr>
            </w:pPr>
            <w:r>
              <w:rPr>
                <w:rFonts w:hint="eastAsia" w:asciiTheme="minorHAnsi" w:hAnsiTheme="minorHAnsi" w:cstheme="minorBidi"/>
                <w:sz w:val="21"/>
                <w:szCs w:val="22"/>
                <w:lang w:val="en-US" w:eastAsia="zh-CN" w:bidi="ar"/>
              </w:rPr>
              <w:t>12.8</w:t>
            </w:r>
          </w:p>
        </w:tc>
      </w:tr>
      <w:tr w14:paraId="212CC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4DC4C628">
            <w:pPr>
              <w:jc w:val="center"/>
              <w:rPr>
                <w:b/>
                <w:bCs/>
              </w:rPr>
            </w:pPr>
            <w:r>
              <w:rPr>
                <w:rFonts w:hint="eastAsia"/>
                <w:b/>
                <w:bCs/>
              </w:rPr>
              <w:t>服务期</w:t>
            </w:r>
          </w:p>
        </w:tc>
        <w:tc>
          <w:tcPr>
            <w:tcW w:w="6458" w:type="dxa"/>
          </w:tcPr>
          <w:p w14:paraId="5D0E23F9">
            <w:pPr>
              <w:rPr>
                <w:rFonts w:hint="default" w:eastAsiaTheme="minorEastAsia"/>
                <w:lang w:val="en-US" w:eastAsia="zh-CN"/>
              </w:rPr>
            </w:pPr>
            <w:r>
              <w:rPr>
                <w:rFonts w:hint="eastAsia"/>
                <w:lang w:val="en-US" w:eastAsia="zh-CN"/>
              </w:rPr>
              <w:t>1年</w:t>
            </w:r>
          </w:p>
        </w:tc>
      </w:tr>
      <w:bookmarkEnd w:id="0"/>
    </w:tbl>
    <w:p w14:paraId="6B8C18C7">
      <w:pPr>
        <w:rPr>
          <w:rFonts w:hint="default" w:eastAsiaTheme="minorEastAsia"/>
          <w:b/>
          <w:lang w:val="en-US" w:eastAsia="zh-CN"/>
        </w:rPr>
      </w:pPr>
      <w:bookmarkStart w:id="1" w:name="_Toc4514"/>
      <w:r>
        <w:rPr>
          <w:rFonts w:hint="eastAsia"/>
          <w:b/>
        </w:rPr>
        <w:t>二、</w:t>
      </w:r>
      <w:bookmarkEnd w:id="1"/>
      <w:r>
        <w:rPr>
          <w:rFonts w:hint="eastAsia"/>
          <w:b/>
          <w:lang w:val="en-US" w:eastAsia="zh-CN"/>
        </w:rPr>
        <w:t>服务内容</w:t>
      </w:r>
    </w:p>
    <w:tbl>
      <w:tblPr>
        <w:tblStyle w:val="6"/>
        <w:tblW w:w="8316" w:type="dxa"/>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2935"/>
        <w:gridCol w:w="4662"/>
      </w:tblGrid>
      <w:tr w14:paraId="02B95B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719" w:type="dxa"/>
            <w:tcBorders>
              <w:top w:val="single" w:color="auto" w:sz="4" w:space="0"/>
              <w:bottom w:val="single" w:color="auto" w:sz="4" w:space="0"/>
              <w:right w:val="single" w:color="auto" w:sz="4" w:space="0"/>
            </w:tcBorders>
            <w:vAlign w:val="center"/>
          </w:tcPr>
          <w:p w14:paraId="680DF87D">
            <w:pPr>
              <w:rPr>
                <w:rFonts w:hint="default" w:eastAsiaTheme="minorEastAsia"/>
                <w:lang w:val="en-US" w:eastAsia="zh-CN"/>
              </w:rPr>
            </w:pPr>
            <w:bookmarkStart w:id="2" w:name="OLE_LINK2" w:colFirst="0" w:colLast="1"/>
            <w:r>
              <w:rPr>
                <w:rFonts w:hint="eastAsia"/>
                <w:lang w:val="en-US" w:eastAsia="zh-CN"/>
              </w:rPr>
              <w:t>序号</w:t>
            </w:r>
          </w:p>
        </w:tc>
        <w:tc>
          <w:tcPr>
            <w:tcW w:w="2935" w:type="dxa"/>
            <w:tcBorders>
              <w:top w:val="single" w:color="auto" w:sz="4" w:space="0"/>
              <w:left w:val="single" w:color="auto" w:sz="4" w:space="0"/>
              <w:bottom w:val="single" w:color="auto" w:sz="4" w:space="0"/>
            </w:tcBorders>
            <w:vAlign w:val="center"/>
          </w:tcPr>
          <w:p w14:paraId="543B87BC">
            <w:pPr>
              <w:rPr>
                <w:rFonts w:hint="default" w:eastAsiaTheme="minorEastAsia"/>
                <w:lang w:val="en-US" w:eastAsia="zh-CN"/>
              </w:rPr>
            </w:pPr>
            <w:r>
              <w:rPr>
                <w:rFonts w:hint="eastAsia"/>
                <w:lang w:val="en-US" w:eastAsia="zh-CN"/>
              </w:rPr>
              <w:t>服务名称</w:t>
            </w:r>
          </w:p>
        </w:tc>
        <w:tc>
          <w:tcPr>
            <w:tcW w:w="4662" w:type="dxa"/>
            <w:tcBorders>
              <w:top w:val="single" w:color="auto" w:sz="4" w:space="0"/>
              <w:left w:val="single" w:color="auto" w:sz="4" w:space="0"/>
              <w:bottom w:val="single" w:color="auto" w:sz="4" w:space="0"/>
            </w:tcBorders>
            <w:vAlign w:val="center"/>
          </w:tcPr>
          <w:p w14:paraId="0E647D53">
            <w:pPr>
              <w:rPr>
                <w:rFonts w:hint="default" w:eastAsiaTheme="minorEastAsia"/>
                <w:lang w:val="en-US" w:eastAsia="zh-CN"/>
              </w:rPr>
            </w:pPr>
            <w:r>
              <w:rPr>
                <w:rFonts w:hint="eastAsia"/>
                <w:lang w:val="en-US" w:eastAsia="zh-CN"/>
              </w:rPr>
              <w:t>服务技术指标</w:t>
            </w:r>
          </w:p>
        </w:tc>
      </w:tr>
      <w:tr w14:paraId="241242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719" w:type="dxa"/>
            <w:tcBorders>
              <w:top w:val="single" w:color="auto" w:sz="4" w:space="0"/>
              <w:bottom w:val="single" w:color="auto" w:sz="4" w:space="0"/>
              <w:right w:val="single" w:color="auto" w:sz="4" w:space="0"/>
            </w:tcBorders>
            <w:vAlign w:val="center"/>
          </w:tcPr>
          <w:p w14:paraId="05960243">
            <w:pPr>
              <w:jc w:val="center"/>
              <w:rPr>
                <w:rFonts w:hint="eastAsia"/>
                <w:lang w:val="en-US" w:eastAsia="zh-CN"/>
              </w:rPr>
            </w:pPr>
            <w:bookmarkStart w:id="3" w:name="_Toc933"/>
            <w:r>
              <w:rPr>
                <w:rFonts w:hint="eastAsia"/>
                <w:lang w:val="en-US" w:eastAsia="zh-CN"/>
              </w:rPr>
              <w:t>1</w:t>
            </w:r>
          </w:p>
        </w:tc>
        <w:tc>
          <w:tcPr>
            <w:tcW w:w="2935" w:type="dxa"/>
            <w:tcBorders>
              <w:top w:val="single" w:color="auto" w:sz="4" w:space="0"/>
              <w:left w:val="single" w:color="auto" w:sz="4" w:space="0"/>
              <w:bottom w:val="single" w:color="auto" w:sz="4" w:space="0"/>
            </w:tcBorders>
            <w:vAlign w:val="center"/>
          </w:tcPr>
          <w:p w14:paraId="2D937D8E">
            <w:pPr>
              <w:rPr>
                <w:rFonts w:hint="eastAsia"/>
                <w:highlight w:val="none"/>
                <w:lang w:val="en-US" w:eastAsia="zh-CN"/>
              </w:rPr>
            </w:pPr>
            <w:r>
              <w:rPr>
                <w:rFonts w:hint="eastAsia" w:asciiTheme="minorHAnsi" w:hAnsiTheme="minorHAnsi"/>
                <w:sz w:val="21"/>
                <w:highlight w:val="none"/>
                <w:lang w:val="en-US" w:eastAsia="zh-CN"/>
              </w:rPr>
              <w:t>山石防火墙</w:t>
            </w:r>
            <w:r>
              <w:rPr>
                <w:rFonts w:hint="eastAsia"/>
                <w:highlight w:val="none"/>
                <w:lang w:eastAsia="zh-CN"/>
              </w:rPr>
              <w:t>，</w:t>
            </w:r>
            <w:r>
              <w:rPr>
                <w:rFonts w:hint="eastAsia"/>
                <w:highlight w:val="none"/>
              </w:rPr>
              <w:t>设备</w:t>
            </w:r>
            <w:r>
              <w:rPr>
                <w:rFonts w:hint="eastAsia"/>
                <w:highlight w:val="none"/>
                <w:lang w:val="en-US" w:eastAsia="zh-CN"/>
              </w:rPr>
              <w:t>型号</w:t>
            </w:r>
            <w:r>
              <w:rPr>
                <w:rFonts w:hint="eastAsia" w:asciiTheme="minorHAnsi" w:hAnsiTheme="minorHAnsi"/>
                <w:color w:val="auto"/>
                <w:sz w:val="21"/>
                <w:highlight w:val="none"/>
              </w:rPr>
              <w:t>SGSV-A5500-CN</w:t>
            </w:r>
            <w:r>
              <w:rPr>
                <w:rFonts w:hint="eastAsia"/>
                <w:highlight w:val="none"/>
                <w:lang w:eastAsia="zh-CN"/>
              </w:rPr>
              <w:t>，</w:t>
            </w:r>
            <w:r>
              <w:rPr>
                <w:rFonts w:hint="eastAsia"/>
                <w:highlight w:val="none"/>
                <w:lang w:val="en-US" w:eastAsia="zh-CN"/>
              </w:rPr>
              <w:t>数量2套</w:t>
            </w:r>
          </w:p>
        </w:tc>
        <w:tc>
          <w:tcPr>
            <w:tcW w:w="4662" w:type="dxa"/>
            <w:tcBorders>
              <w:top w:val="single" w:color="auto" w:sz="4" w:space="0"/>
              <w:left w:val="single" w:color="auto" w:sz="4" w:space="0"/>
              <w:bottom w:val="single" w:color="auto" w:sz="4" w:space="0"/>
            </w:tcBorders>
            <w:vAlign w:val="center"/>
          </w:tcPr>
          <w:p w14:paraId="1ECD88B0">
            <w:pPr>
              <w:rPr>
                <w:rFonts w:hint="eastAsia"/>
                <w:highlight w:val="none"/>
              </w:rPr>
            </w:pPr>
            <w:r>
              <w:rPr>
                <w:rFonts w:hint="eastAsia"/>
                <w:highlight w:val="none"/>
              </w:rPr>
              <w:t>包含：①产品系统升级授权（含IPS模块、入侵防御、威胁情报和病毒过滤等模块）；②远程支持服务；③</w:t>
            </w:r>
            <w:r>
              <w:rPr>
                <w:rFonts w:hint="eastAsia"/>
                <w:highlight w:val="none"/>
                <w:lang w:val="en-US" w:eastAsia="zh-CN"/>
              </w:rPr>
              <w:t>软硬件</w:t>
            </w:r>
            <w:r>
              <w:rPr>
                <w:rFonts w:hint="eastAsia"/>
                <w:highlight w:val="none"/>
              </w:rPr>
              <w:t>产品保修服务；④硬件故障上门支持。</w:t>
            </w:r>
          </w:p>
        </w:tc>
      </w:tr>
      <w:tr w14:paraId="16F907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719" w:type="dxa"/>
            <w:tcBorders>
              <w:top w:val="single" w:color="auto" w:sz="4" w:space="0"/>
              <w:bottom w:val="single" w:color="auto" w:sz="4" w:space="0"/>
              <w:right w:val="single" w:color="auto" w:sz="4" w:space="0"/>
            </w:tcBorders>
            <w:vAlign w:val="center"/>
          </w:tcPr>
          <w:p w14:paraId="7F06AD6F">
            <w:pPr>
              <w:jc w:val="center"/>
              <w:rPr>
                <w:rFonts w:hint="eastAsia"/>
                <w:lang w:val="en-US" w:eastAsia="zh-CN"/>
              </w:rPr>
            </w:pPr>
            <w:r>
              <w:rPr>
                <w:rFonts w:hint="eastAsia"/>
                <w:lang w:val="en-US" w:eastAsia="zh-CN"/>
              </w:rPr>
              <w:t>2</w:t>
            </w:r>
          </w:p>
        </w:tc>
        <w:tc>
          <w:tcPr>
            <w:tcW w:w="2935" w:type="dxa"/>
            <w:tcBorders>
              <w:top w:val="single" w:color="auto" w:sz="4" w:space="0"/>
              <w:left w:val="single" w:color="auto" w:sz="4" w:space="0"/>
              <w:bottom w:val="single" w:color="auto" w:sz="4" w:space="0"/>
            </w:tcBorders>
            <w:vAlign w:val="center"/>
          </w:tcPr>
          <w:p w14:paraId="7467FA7F">
            <w:pPr>
              <w:rPr>
                <w:rFonts w:hint="eastAsia"/>
                <w:highlight w:val="none"/>
                <w:lang w:eastAsia="zh-CN"/>
              </w:rPr>
            </w:pPr>
            <w:r>
              <w:rPr>
                <w:rFonts w:hint="eastAsia" w:asciiTheme="minorHAnsi" w:hAnsiTheme="minorHAnsi" w:eastAsiaTheme="minorEastAsia" w:cstheme="minorBidi"/>
                <w:sz w:val="21"/>
                <w:highlight w:val="none"/>
                <w:lang w:val="en-US" w:eastAsia="zh-CN"/>
              </w:rPr>
              <w:t>Web应用防火墙（WAF）</w:t>
            </w:r>
            <w:r>
              <w:rPr>
                <w:rFonts w:hint="eastAsia"/>
                <w:highlight w:val="none"/>
                <w:lang w:eastAsia="zh-CN"/>
              </w:rPr>
              <w:t>，</w:t>
            </w:r>
            <w:r>
              <w:rPr>
                <w:rFonts w:hint="eastAsia"/>
                <w:highlight w:val="none"/>
              </w:rPr>
              <w:t>设备</w:t>
            </w:r>
            <w:r>
              <w:rPr>
                <w:rFonts w:hint="eastAsia"/>
                <w:highlight w:val="none"/>
                <w:lang w:val="en-US" w:eastAsia="zh-CN"/>
              </w:rPr>
              <w:t>型号</w:t>
            </w:r>
            <w:r>
              <w:rPr>
                <w:rFonts w:hint="eastAsia" w:asciiTheme="minorHAnsi" w:hAnsiTheme="minorHAnsi"/>
                <w:sz w:val="21"/>
                <w:highlight w:val="none"/>
              </w:rPr>
              <w:t>SG-6000-W1100</w:t>
            </w:r>
            <w:r>
              <w:rPr>
                <w:rFonts w:hint="eastAsia"/>
                <w:highlight w:val="none"/>
                <w:lang w:eastAsia="zh-CN"/>
              </w:rPr>
              <w:t>，</w:t>
            </w:r>
            <w:r>
              <w:rPr>
                <w:rFonts w:hint="eastAsia"/>
                <w:highlight w:val="none"/>
                <w:lang w:val="en-US" w:eastAsia="zh-CN"/>
              </w:rPr>
              <w:t>数量1套</w:t>
            </w:r>
          </w:p>
        </w:tc>
        <w:tc>
          <w:tcPr>
            <w:tcW w:w="4662" w:type="dxa"/>
            <w:tcBorders>
              <w:top w:val="single" w:color="auto" w:sz="4" w:space="0"/>
              <w:left w:val="single" w:color="auto" w:sz="4" w:space="0"/>
              <w:bottom w:val="single" w:color="auto" w:sz="4" w:space="0"/>
            </w:tcBorders>
            <w:vAlign w:val="center"/>
          </w:tcPr>
          <w:p w14:paraId="41580B78">
            <w:pPr>
              <w:rPr>
                <w:rFonts w:hint="eastAsia"/>
                <w:highlight w:val="none"/>
              </w:rPr>
            </w:pPr>
            <w:r>
              <w:rPr>
                <w:rFonts w:hint="eastAsia"/>
                <w:highlight w:val="none"/>
              </w:rPr>
              <w:t>包含：①产品系统升级授权</w:t>
            </w:r>
            <w:r>
              <w:rPr>
                <w:rFonts w:hint="eastAsia"/>
                <w:highlight w:val="none"/>
                <w:lang w:eastAsia="zh-CN"/>
              </w:rPr>
              <w:t>，</w:t>
            </w:r>
            <w:r>
              <w:rPr>
                <w:rFonts w:hint="eastAsia"/>
                <w:highlight w:val="none"/>
                <w:lang w:val="en-US" w:eastAsia="zh-CN"/>
              </w:rPr>
              <w:t>包含平台系统升级、规则库、策略库升级</w:t>
            </w:r>
            <w:r>
              <w:rPr>
                <w:rFonts w:hint="eastAsia"/>
                <w:highlight w:val="none"/>
              </w:rPr>
              <w:t>；②远程支持服务；③</w:t>
            </w:r>
            <w:r>
              <w:rPr>
                <w:rFonts w:hint="eastAsia"/>
                <w:highlight w:val="none"/>
                <w:lang w:val="en-US" w:eastAsia="zh-CN"/>
              </w:rPr>
              <w:t>软硬件</w:t>
            </w:r>
            <w:r>
              <w:rPr>
                <w:rFonts w:hint="eastAsia"/>
                <w:highlight w:val="none"/>
              </w:rPr>
              <w:t>产品保修服务；④硬件故障上门支持。</w:t>
            </w:r>
          </w:p>
        </w:tc>
      </w:tr>
      <w:tr w14:paraId="7BC77D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719" w:type="dxa"/>
            <w:tcBorders>
              <w:top w:val="single" w:color="auto" w:sz="4" w:space="0"/>
              <w:bottom w:val="single" w:color="auto" w:sz="4" w:space="0"/>
              <w:right w:val="single" w:color="auto" w:sz="4" w:space="0"/>
            </w:tcBorders>
            <w:vAlign w:val="center"/>
          </w:tcPr>
          <w:p w14:paraId="43F9D7DF">
            <w:pPr>
              <w:jc w:val="center"/>
              <w:rPr>
                <w:rFonts w:hint="default"/>
                <w:lang w:val="en-US" w:eastAsia="zh-CN"/>
              </w:rPr>
            </w:pPr>
            <w:r>
              <w:rPr>
                <w:rFonts w:hint="eastAsia"/>
                <w:lang w:val="en-US" w:eastAsia="zh-CN"/>
              </w:rPr>
              <w:t>3</w:t>
            </w:r>
          </w:p>
        </w:tc>
        <w:tc>
          <w:tcPr>
            <w:tcW w:w="2935" w:type="dxa"/>
            <w:tcBorders>
              <w:top w:val="single" w:color="auto" w:sz="4" w:space="0"/>
              <w:left w:val="single" w:color="auto" w:sz="4" w:space="0"/>
              <w:bottom w:val="single" w:color="auto" w:sz="4" w:space="0"/>
            </w:tcBorders>
            <w:vAlign w:val="center"/>
          </w:tcPr>
          <w:p w14:paraId="7421E898">
            <w:pPr>
              <w:rPr>
                <w:rFonts w:hint="eastAsia"/>
              </w:rPr>
            </w:pPr>
            <w:r>
              <w:rPr>
                <w:rFonts w:hint="eastAsia" w:asciiTheme="minorHAnsi" w:hAnsiTheme="minorHAnsi" w:eastAsiaTheme="minorEastAsia" w:cstheme="minorBidi"/>
                <w:sz w:val="21"/>
                <w:lang w:val="en-US" w:eastAsia="zh-CN"/>
              </w:rPr>
              <w:t>EDR管理系统</w:t>
            </w:r>
            <w:r>
              <w:rPr>
                <w:rFonts w:hint="eastAsia"/>
                <w:lang w:eastAsia="zh-CN"/>
              </w:rPr>
              <w:t>，</w:t>
            </w:r>
            <w:r>
              <w:rPr>
                <w:rFonts w:hint="eastAsia"/>
                <w:lang w:val="en-US" w:eastAsia="zh-CN"/>
              </w:rPr>
              <w:t>数量1套</w:t>
            </w:r>
          </w:p>
        </w:tc>
        <w:tc>
          <w:tcPr>
            <w:tcW w:w="4662" w:type="dxa"/>
            <w:tcBorders>
              <w:top w:val="single" w:color="auto" w:sz="4" w:space="0"/>
              <w:left w:val="single" w:color="auto" w:sz="4" w:space="0"/>
              <w:bottom w:val="single" w:color="auto" w:sz="4" w:space="0"/>
            </w:tcBorders>
            <w:vAlign w:val="center"/>
          </w:tcPr>
          <w:p w14:paraId="0AA87B17">
            <w:pPr>
              <w:rPr>
                <w:rFonts w:hint="eastAsia"/>
                <w:highlight w:val="none"/>
              </w:rPr>
            </w:pPr>
            <w:r>
              <w:rPr>
                <w:rFonts w:hint="eastAsia"/>
                <w:highlight w:val="none"/>
              </w:rPr>
              <w:t>包含：①平台系统升级</w:t>
            </w:r>
            <w:r>
              <w:rPr>
                <w:rFonts w:hint="eastAsia"/>
                <w:highlight w:val="none"/>
                <w:lang w:eastAsia="zh-CN"/>
              </w:rPr>
              <w:t>、</w:t>
            </w:r>
            <w:r>
              <w:rPr>
                <w:rFonts w:hint="eastAsia"/>
                <w:highlight w:val="none"/>
              </w:rPr>
              <w:t>授权</w:t>
            </w:r>
            <w:r>
              <w:rPr>
                <w:rFonts w:hint="eastAsia"/>
                <w:highlight w:val="none"/>
                <w:lang w:eastAsia="zh-CN"/>
              </w:rPr>
              <w:t>，</w:t>
            </w:r>
            <w:r>
              <w:rPr>
                <w:rFonts w:hint="eastAsia"/>
                <w:highlight w:val="none"/>
                <w:lang w:val="en-US" w:eastAsia="zh-CN"/>
              </w:rPr>
              <w:t>包含系统升级、规则库、策略库升级</w:t>
            </w:r>
            <w:r>
              <w:rPr>
                <w:rFonts w:hint="eastAsia"/>
                <w:highlight w:val="none"/>
              </w:rPr>
              <w:t>；②远程支持服务；③产品保修服务；</w:t>
            </w:r>
          </w:p>
        </w:tc>
      </w:tr>
      <w:tr w14:paraId="5C70FD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719" w:type="dxa"/>
            <w:tcBorders>
              <w:top w:val="single" w:color="auto" w:sz="4" w:space="0"/>
              <w:bottom w:val="single" w:color="auto" w:sz="4" w:space="0"/>
              <w:right w:val="single" w:color="auto" w:sz="4" w:space="0"/>
            </w:tcBorders>
            <w:vAlign w:val="center"/>
          </w:tcPr>
          <w:p w14:paraId="2840C24E">
            <w:pPr>
              <w:jc w:val="center"/>
              <w:rPr>
                <w:rFonts w:hint="default"/>
                <w:lang w:val="en-US" w:eastAsia="zh-CN"/>
              </w:rPr>
            </w:pPr>
            <w:r>
              <w:rPr>
                <w:rFonts w:hint="eastAsia"/>
                <w:lang w:val="en-US" w:eastAsia="zh-CN"/>
              </w:rPr>
              <w:t>4</w:t>
            </w:r>
          </w:p>
        </w:tc>
        <w:tc>
          <w:tcPr>
            <w:tcW w:w="2935" w:type="dxa"/>
            <w:tcBorders>
              <w:top w:val="single" w:color="auto" w:sz="4" w:space="0"/>
              <w:left w:val="single" w:color="auto" w:sz="4" w:space="0"/>
              <w:bottom w:val="single" w:color="auto" w:sz="4" w:space="0"/>
            </w:tcBorders>
            <w:vAlign w:val="center"/>
          </w:tcPr>
          <w:p w14:paraId="1899F023">
            <w:pPr>
              <w:rPr>
                <w:rFonts w:hint="eastAsia"/>
                <w:highlight w:val="none"/>
                <w:lang w:eastAsia="zh-CN"/>
              </w:rPr>
            </w:pPr>
            <w:r>
              <w:rPr>
                <w:rFonts w:hint="eastAsia" w:asciiTheme="minorHAnsi" w:hAnsiTheme="minorHAnsi" w:cstheme="minorBidi"/>
                <w:kern w:val="2"/>
                <w:sz w:val="21"/>
                <w:highlight w:val="none"/>
                <w:lang w:val="en-US" w:eastAsia="zh-CN" w:bidi="ar"/>
              </w:rPr>
              <w:t>panabit</w:t>
            </w:r>
            <w:r>
              <w:rPr>
                <w:rFonts w:hint="eastAsia" w:asciiTheme="minorHAnsi" w:hAnsiTheme="minorHAnsi" w:eastAsiaTheme="minorEastAsia" w:cstheme="minorBidi"/>
                <w:sz w:val="21"/>
                <w:highlight w:val="none"/>
                <w:lang w:val="en-US" w:eastAsia="zh-CN"/>
              </w:rPr>
              <w:t>网络全流量溯源分析系统，</w:t>
            </w:r>
            <w:r>
              <w:rPr>
                <w:rFonts w:hint="eastAsia"/>
                <w:highlight w:val="none"/>
                <w:lang w:val="en-US" w:eastAsia="zh-CN"/>
              </w:rPr>
              <w:t>数量1套</w:t>
            </w:r>
          </w:p>
        </w:tc>
        <w:tc>
          <w:tcPr>
            <w:tcW w:w="4662" w:type="dxa"/>
            <w:tcBorders>
              <w:top w:val="single" w:color="auto" w:sz="4" w:space="0"/>
              <w:left w:val="single" w:color="auto" w:sz="4" w:space="0"/>
              <w:bottom w:val="single" w:color="auto" w:sz="4" w:space="0"/>
            </w:tcBorders>
            <w:vAlign w:val="center"/>
          </w:tcPr>
          <w:p w14:paraId="45C62004">
            <w:pPr>
              <w:rPr>
                <w:rFonts w:hint="eastAsia"/>
                <w:highlight w:val="none"/>
              </w:rPr>
            </w:pPr>
            <w:r>
              <w:rPr>
                <w:rFonts w:hint="eastAsia"/>
                <w:highlight w:val="none"/>
              </w:rPr>
              <w:t>包含：①产品系统升级及特征库升级，包含数据采集、数据管理、数据分析与数据控制四大模块，支持通过应用识别、威胁情报、流量模型等手段分析翻墙行为；②远程支持服务；③软硬件产品保修服务；④硬件故障上门支持。</w:t>
            </w:r>
          </w:p>
        </w:tc>
      </w:tr>
      <w:tr w14:paraId="7466DF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8316" w:type="dxa"/>
            <w:gridSpan w:val="3"/>
            <w:tcBorders>
              <w:top w:val="single" w:color="auto" w:sz="4" w:space="0"/>
              <w:bottom w:val="single" w:color="auto" w:sz="4" w:space="0"/>
            </w:tcBorders>
            <w:vAlign w:val="center"/>
          </w:tcPr>
          <w:p w14:paraId="14E403B8">
            <w:pPr>
              <w:numPr>
                <w:ilvl w:val="-1"/>
                <w:numId w:val="0"/>
              </w:numPr>
              <w:spacing w:line="276" w:lineRule="auto"/>
              <w:ind w:firstLine="0" w:firstLineChars="0"/>
              <w:rPr>
                <w:rFonts w:hint="eastAsia"/>
              </w:rPr>
            </w:pPr>
            <w:r>
              <w:rPr>
                <w:rFonts w:hint="eastAsia"/>
                <w:b/>
              </w:rPr>
              <w:t>注：</w:t>
            </w:r>
          </w:p>
        </w:tc>
      </w:tr>
      <w:bookmarkEnd w:id="2"/>
    </w:tbl>
    <w:p w14:paraId="28DBD76F">
      <w:pPr>
        <w:rPr>
          <w:b/>
        </w:rPr>
      </w:pPr>
      <w:r>
        <w:rPr>
          <w:rFonts w:hint="eastAsia"/>
          <w:b/>
        </w:rPr>
        <w:t>三、服务要求（技术要求里另有注明的以技术要求为准）</w:t>
      </w:r>
      <w:bookmarkEnd w:id="3"/>
    </w:p>
    <w:tbl>
      <w:tblPr>
        <w:tblStyle w:val="6"/>
        <w:tblW w:w="8346" w:type="dxa"/>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80"/>
        <w:gridCol w:w="7166"/>
      </w:tblGrid>
      <w:tr w14:paraId="0DE07E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1180" w:type="dxa"/>
            <w:tcBorders>
              <w:top w:val="single" w:color="auto" w:sz="4" w:space="0"/>
              <w:bottom w:val="single" w:color="auto" w:sz="4" w:space="0"/>
              <w:right w:val="single" w:color="auto" w:sz="4" w:space="0"/>
            </w:tcBorders>
            <w:vAlign w:val="center"/>
          </w:tcPr>
          <w:p w14:paraId="55ABA694">
            <w:pPr>
              <w:rPr>
                <w:rFonts w:hint="default" w:eastAsiaTheme="minorEastAsia"/>
                <w:lang w:val="en-US" w:eastAsia="zh-CN"/>
              </w:rPr>
            </w:pPr>
            <w:r>
              <w:rPr>
                <w:rFonts w:hint="eastAsia"/>
                <w:lang w:val="en-US" w:eastAsia="zh-CN"/>
              </w:rPr>
              <w:t>对服务方案的要求</w:t>
            </w:r>
          </w:p>
        </w:tc>
        <w:tc>
          <w:tcPr>
            <w:tcW w:w="7166" w:type="dxa"/>
            <w:tcBorders>
              <w:top w:val="single" w:color="auto" w:sz="4" w:space="0"/>
              <w:left w:val="single" w:color="auto" w:sz="4" w:space="0"/>
              <w:bottom w:val="single" w:color="auto" w:sz="4" w:space="0"/>
            </w:tcBorders>
            <w:vAlign w:val="center"/>
          </w:tcPr>
          <w:p w14:paraId="0CB99CEF">
            <w:r>
              <w:rPr>
                <w:rFonts w:hint="eastAsia" w:ascii="宋体" w:hAnsi="宋体" w:cs="宋体"/>
                <w:color w:val="000000"/>
                <w:kern w:val="0"/>
                <w:szCs w:val="21"/>
                <w:lang w:val="en-US" w:eastAsia="zh-CN"/>
              </w:rPr>
              <w:t>实施过程中，服务方案需与</w:t>
            </w:r>
            <w:r>
              <w:rPr>
                <w:rFonts w:hint="eastAsia"/>
              </w:rPr>
              <w:t>采购</w:t>
            </w:r>
            <w:r>
              <w:rPr>
                <w:rFonts w:hint="eastAsia"/>
                <w:lang w:val="en-US" w:eastAsia="zh-CN"/>
              </w:rPr>
              <w:t>方确认后方可进行实施。</w:t>
            </w:r>
          </w:p>
        </w:tc>
      </w:tr>
      <w:tr w14:paraId="3DD4B6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1180" w:type="dxa"/>
            <w:tcBorders>
              <w:top w:val="single" w:color="auto" w:sz="4" w:space="0"/>
              <w:bottom w:val="single" w:color="auto" w:sz="4" w:space="0"/>
              <w:right w:val="single" w:color="auto" w:sz="4" w:space="0"/>
            </w:tcBorders>
            <w:vAlign w:val="center"/>
          </w:tcPr>
          <w:p w14:paraId="23830936">
            <w:pPr>
              <w:rPr>
                <w:rFonts w:hint="eastAsia"/>
              </w:rPr>
            </w:pPr>
            <w:r>
              <w:rPr>
                <w:rFonts w:hint="eastAsia"/>
              </w:rPr>
              <w:t>服务</w:t>
            </w:r>
            <w:r>
              <w:rPr>
                <w:rFonts w:hint="eastAsia"/>
                <w:lang w:val="en-US" w:eastAsia="zh-CN"/>
              </w:rPr>
              <w:t>标准</w:t>
            </w:r>
          </w:p>
        </w:tc>
        <w:tc>
          <w:tcPr>
            <w:tcW w:w="7166" w:type="dxa"/>
            <w:tcBorders>
              <w:top w:val="single" w:color="auto" w:sz="4" w:space="0"/>
              <w:left w:val="single" w:color="auto" w:sz="4" w:space="0"/>
              <w:bottom w:val="single" w:color="auto" w:sz="4" w:space="0"/>
            </w:tcBorders>
            <w:vAlign w:val="center"/>
          </w:tcPr>
          <w:p w14:paraId="06E58644">
            <w:pPr>
              <w:numPr>
                <w:ilvl w:val="0"/>
                <w:numId w:val="1"/>
              </w:numPr>
              <w:ind w:left="0" w:leftChars="0" w:firstLine="0" w:firstLineChars="0"/>
              <w:rPr>
                <w:rFonts w:hint="eastAsia"/>
                <w:color w:val="auto"/>
                <w:highlight w:val="none"/>
                <w:lang w:val="en-US" w:eastAsia="zh-CN"/>
              </w:rPr>
            </w:pPr>
            <w:r>
              <w:rPr>
                <w:rFonts w:hint="eastAsia"/>
                <w:color w:val="auto"/>
                <w:highlight w:val="none"/>
                <w:lang w:eastAsia="zh-CN"/>
              </w:rPr>
              <w:t>成交供应商</w:t>
            </w:r>
            <w:r>
              <w:rPr>
                <w:rFonts w:hint="eastAsia"/>
                <w:color w:val="auto"/>
                <w:highlight w:val="none"/>
                <w:lang w:val="en-US" w:eastAsia="zh-CN"/>
              </w:rPr>
              <w:t>应按照服务内容中的服务技术指标提供服务，提供的维保服务为设备原厂软硬件维保服务，提供原厂续保起止日期内的许可授权和硬件质保服务承诺函。并且续保后</w:t>
            </w:r>
            <w:r>
              <w:rPr>
                <w:rFonts w:hint="default"/>
                <w:color w:val="auto"/>
                <w:highlight w:val="none"/>
                <w:lang w:eastAsia="zh-CN"/>
              </w:rPr>
              <w:t>须</w:t>
            </w:r>
            <w:r>
              <w:rPr>
                <w:rFonts w:hint="eastAsia"/>
                <w:color w:val="auto"/>
                <w:highlight w:val="none"/>
                <w:lang w:val="en-US" w:eastAsia="zh-CN"/>
              </w:rPr>
              <w:t>保证设备的软件许可、特征库、病毒库等的授权到期时间与续保服务终止日保持一致。</w:t>
            </w:r>
          </w:p>
          <w:p w14:paraId="186B109E">
            <w:pPr>
              <w:numPr>
                <w:ilvl w:val="0"/>
                <w:numId w:val="1"/>
              </w:numPr>
              <w:ind w:left="0" w:leftChars="0" w:firstLine="0" w:firstLineChars="0"/>
              <w:rPr>
                <w:rFonts w:hint="eastAsia"/>
                <w:color w:val="auto"/>
                <w:highlight w:val="none"/>
                <w:lang w:val="en-US" w:eastAsia="zh-CN"/>
              </w:rPr>
            </w:pPr>
            <w:r>
              <w:rPr>
                <w:rFonts w:hint="eastAsia"/>
                <w:color w:val="auto"/>
                <w:highlight w:val="none"/>
                <w:lang w:eastAsia="zh-CN"/>
              </w:rPr>
              <w:t>成交供应商</w:t>
            </w:r>
            <w:r>
              <w:rPr>
                <w:rFonts w:hint="eastAsia"/>
                <w:color w:val="auto"/>
                <w:highlight w:val="none"/>
                <w:lang w:val="en-US" w:eastAsia="zh-CN"/>
              </w:rPr>
              <w:t>应提供 7*24小时不限次的电话、远程支持服务。如采购方工作人员在使用维保范围内的软硬件设备遇到问题,随时可以得到电话技术支持与现场技术支持。</w:t>
            </w:r>
          </w:p>
          <w:p w14:paraId="4A9BD375">
            <w:pPr>
              <w:numPr>
                <w:ilvl w:val="0"/>
                <w:numId w:val="1"/>
              </w:numPr>
              <w:ind w:left="0" w:leftChars="0" w:firstLine="0" w:firstLineChars="0"/>
              <w:rPr>
                <w:rFonts w:hint="eastAsia"/>
                <w:color w:val="auto"/>
                <w:highlight w:val="none"/>
                <w:lang w:val="en-US" w:eastAsia="zh-CN"/>
              </w:rPr>
            </w:pPr>
            <w:r>
              <w:rPr>
                <w:rFonts w:hint="eastAsia"/>
                <w:color w:val="auto"/>
                <w:highlight w:val="none"/>
                <w:lang w:eastAsia="zh-CN"/>
              </w:rPr>
              <w:t>成交供应商</w:t>
            </w:r>
            <w:r>
              <w:rPr>
                <w:rFonts w:hint="eastAsia"/>
                <w:color w:val="auto"/>
                <w:highlight w:val="none"/>
                <w:lang w:val="en-US" w:eastAsia="zh-CN"/>
              </w:rPr>
              <w:t>接到采购方本次维保的软硬件设备故障申告后,需15分钟之内做出响应，2小时内赶赴现场提供现场服务。确定是软件故障后，成交供应商应负责针对故障原因，提出相应的故障处理措施，经采购方同意后，尽快解决故障，使相关设备恢复正常运行。当发生硬件故障，需要更换配件时，成交供应商免费提供同品牌同型号的配件；当设备故障需要返厂时，成交供应商免费提供</w:t>
            </w:r>
            <w:r>
              <w:rPr>
                <w:rFonts w:hint="eastAsia"/>
                <w:color w:val="auto"/>
                <w:highlight w:val="none"/>
              </w:rPr>
              <w:t>临时替代设备</w:t>
            </w:r>
            <w:r>
              <w:rPr>
                <w:rFonts w:hint="eastAsia"/>
                <w:color w:val="auto"/>
                <w:highlight w:val="none"/>
                <w:lang w:eastAsia="zh-CN"/>
              </w:rPr>
              <w:t>，</w:t>
            </w:r>
            <w:r>
              <w:rPr>
                <w:rFonts w:hint="eastAsia"/>
                <w:color w:val="auto"/>
                <w:highlight w:val="none"/>
              </w:rPr>
              <w:t>替代设备的性能和功能不能低于原设备</w:t>
            </w:r>
            <w:r>
              <w:rPr>
                <w:rFonts w:hint="eastAsia"/>
                <w:color w:val="auto"/>
                <w:highlight w:val="none"/>
                <w:lang w:eastAsia="zh-CN"/>
              </w:rPr>
              <w:t>。</w:t>
            </w:r>
            <w:r>
              <w:rPr>
                <w:rFonts w:hint="eastAsia"/>
                <w:color w:val="auto"/>
                <w:highlight w:val="none"/>
                <w:lang w:val="en-US" w:eastAsia="zh-CN"/>
              </w:rPr>
              <w:t>对于关键性问题(影响采购方业务正常运行的故障)，要求4小时内修复。对于一般问题(不影响采购方业务正常运行的故障)，要求24小时内修复。故障处理完毕三个工作日内，须提供“故障报告”给采购方。</w:t>
            </w:r>
          </w:p>
          <w:p w14:paraId="3BAED735">
            <w:pPr>
              <w:numPr>
                <w:ilvl w:val="0"/>
                <w:numId w:val="1"/>
              </w:numPr>
              <w:ind w:left="0" w:leftChars="0" w:firstLine="0" w:firstLineChars="0"/>
              <w:rPr>
                <w:color w:val="auto"/>
                <w:highlight w:val="none"/>
              </w:rPr>
            </w:pPr>
            <w:r>
              <w:rPr>
                <w:rFonts w:hint="eastAsia"/>
                <w:color w:val="auto"/>
                <w:highlight w:val="none"/>
                <w:lang w:val="en-US" w:eastAsia="zh-CN"/>
              </w:rPr>
              <w:t>当成交供应商技术不能满足采购方本项目的需要时，采购方有权请任何第三方公司进行维保，由此产生的一切费用，由成交供应商承担。</w:t>
            </w:r>
          </w:p>
        </w:tc>
      </w:tr>
      <w:tr w14:paraId="0EFE22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1180" w:type="dxa"/>
            <w:tcBorders>
              <w:top w:val="single" w:color="auto" w:sz="4" w:space="0"/>
              <w:bottom w:val="single" w:color="auto" w:sz="4" w:space="0"/>
              <w:right w:val="single" w:color="auto" w:sz="4" w:space="0"/>
            </w:tcBorders>
            <w:vAlign w:val="center"/>
          </w:tcPr>
          <w:p w14:paraId="7CC28454">
            <w:r>
              <w:rPr>
                <w:rFonts w:hint="eastAsia"/>
              </w:rPr>
              <w:t>人员要求</w:t>
            </w:r>
          </w:p>
        </w:tc>
        <w:tc>
          <w:tcPr>
            <w:tcW w:w="7166" w:type="dxa"/>
            <w:tcBorders>
              <w:top w:val="single" w:color="auto" w:sz="4" w:space="0"/>
              <w:left w:val="single" w:color="auto" w:sz="4" w:space="0"/>
              <w:bottom w:val="single" w:color="auto" w:sz="4" w:space="0"/>
            </w:tcBorders>
            <w:vAlign w:val="center"/>
          </w:tcPr>
          <w:p w14:paraId="122371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宋体" w:hAnsi="宋体" w:eastAsiaTheme="minorEastAsia"/>
                <w:color w:val="auto"/>
                <w:highlight w:val="none"/>
                <w:lang w:eastAsia="zh-CN"/>
              </w:rPr>
            </w:pPr>
            <w:r>
              <w:rPr>
                <w:rFonts w:hint="eastAsia" w:ascii="宋体" w:hAnsi="宋体"/>
                <w:b/>
                <w:bCs/>
                <w:color w:val="auto"/>
                <w:highlight w:val="none"/>
              </w:rPr>
              <w:t>服务人员要求</w:t>
            </w:r>
            <w:r>
              <w:rPr>
                <w:rFonts w:hint="eastAsia" w:ascii="宋体" w:hAnsi="宋体"/>
                <w:color w:val="auto"/>
                <w:highlight w:val="none"/>
                <w:lang w:eastAsia="zh-CN"/>
              </w:rPr>
              <w:t>：</w:t>
            </w:r>
            <w:bookmarkStart w:id="10" w:name="_GoBack"/>
            <w:bookmarkEnd w:id="10"/>
          </w:p>
          <w:p w14:paraId="78266D6D">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firstLine="0" w:firstLineChars="0"/>
              <w:rPr>
                <w:color w:val="auto"/>
                <w:highlight w:val="none"/>
              </w:rPr>
            </w:pPr>
            <w:r>
              <w:rPr>
                <w:rFonts w:hint="eastAsia"/>
                <w:color w:val="auto"/>
                <w:highlight w:val="none"/>
                <w:lang w:eastAsia="zh-CN"/>
              </w:rPr>
              <w:t>成交供应商</w:t>
            </w:r>
            <w:r>
              <w:rPr>
                <w:rFonts w:hint="eastAsia" w:ascii="宋体" w:hAnsi="宋体"/>
                <w:color w:val="auto"/>
                <w:highlight w:val="none"/>
                <w:lang w:val="en-US" w:eastAsia="zh-CN"/>
              </w:rPr>
              <w:t>运维人员需具备中国信息安全产品测评认证中心颁发的注册信息安全专业人员认证（CISP）。</w:t>
            </w:r>
          </w:p>
          <w:p w14:paraId="6201B171">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firstLine="0" w:firstLineChars="0"/>
              <w:rPr>
                <w:color w:val="auto"/>
                <w:highlight w:val="none"/>
              </w:rPr>
            </w:pPr>
            <w:r>
              <w:rPr>
                <w:rFonts w:hint="eastAsia" w:ascii="宋体" w:hAnsi="宋体"/>
                <w:color w:val="auto"/>
                <w:highlight w:val="none"/>
                <w:lang w:val="en-US" w:eastAsia="zh-CN"/>
              </w:rPr>
              <w:t>工程师远程或者现场服务，15分钟内电话响应，2小时内到现场。</w:t>
            </w:r>
          </w:p>
        </w:tc>
      </w:tr>
      <w:tr w14:paraId="1B978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180" w:type="dxa"/>
            <w:tcBorders>
              <w:top w:val="single" w:color="auto" w:sz="4" w:space="0"/>
              <w:bottom w:val="single" w:color="auto" w:sz="4" w:space="0"/>
              <w:right w:val="single" w:color="auto" w:sz="4" w:space="0"/>
            </w:tcBorders>
            <w:vAlign w:val="center"/>
          </w:tcPr>
          <w:p w14:paraId="3E7D1861">
            <w:pPr>
              <w:rPr>
                <w:rFonts w:hint="default" w:eastAsiaTheme="minorEastAsia"/>
                <w:lang w:val="en-US" w:eastAsia="zh-CN"/>
              </w:rPr>
            </w:pPr>
            <w:r>
              <w:rPr>
                <w:rFonts w:hint="eastAsia"/>
                <w:lang w:val="en-US" w:eastAsia="zh-CN"/>
              </w:rPr>
              <w:t>售后要求（如有）</w:t>
            </w:r>
          </w:p>
        </w:tc>
        <w:tc>
          <w:tcPr>
            <w:tcW w:w="7166" w:type="dxa"/>
            <w:tcBorders>
              <w:top w:val="single" w:color="auto" w:sz="4" w:space="0"/>
              <w:left w:val="single" w:color="auto" w:sz="4" w:space="0"/>
              <w:bottom w:val="single" w:color="auto" w:sz="4" w:space="0"/>
            </w:tcBorders>
            <w:vAlign w:val="center"/>
          </w:tcPr>
          <w:p w14:paraId="1BE34D2D">
            <w:pPr>
              <w:rPr>
                <w:highlight w:val="none"/>
              </w:rPr>
            </w:pPr>
            <w:r>
              <w:rPr>
                <w:rFonts w:hint="eastAsia"/>
                <w:color w:val="auto"/>
                <w:highlight w:val="none"/>
                <w:lang w:eastAsia="zh-CN"/>
              </w:rPr>
              <w:t>成交供应商</w:t>
            </w:r>
            <w:r>
              <w:rPr>
                <w:rFonts w:hint="eastAsia"/>
                <w:color w:val="auto"/>
                <w:highlight w:val="none"/>
                <w:lang w:val="en-US" w:eastAsia="zh-CN"/>
              </w:rPr>
              <w:t>负有保密责任，需要与采购方签订保密承诺书</w:t>
            </w:r>
          </w:p>
        </w:tc>
      </w:tr>
      <w:tr w14:paraId="5869D6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180" w:type="dxa"/>
            <w:tcBorders>
              <w:top w:val="single" w:color="auto" w:sz="4" w:space="0"/>
              <w:bottom w:val="single" w:color="auto" w:sz="4" w:space="0"/>
              <w:right w:val="single" w:color="auto" w:sz="4" w:space="0"/>
            </w:tcBorders>
            <w:vAlign w:val="center"/>
          </w:tcPr>
          <w:p w14:paraId="3F35C3AA">
            <w:pPr>
              <w:rPr>
                <w:rFonts w:hint="eastAsia"/>
                <w:lang w:val="en-US" w:eastAsia="zh-CN"/>
              </w:rPr>
            </w:pPr>
            <w:r>
              <w:rPr>
                <w:rFonts w:hint="eastAsia"/>
              </w:rPr>
              <w:t>培训要求</w:t>
            </w:r>
          </w:p>
        </w:tc>
        <w:tc>
          <w:tcPr>
            <w:tcW w:w="7166" w:type="dxa"/>
            <w:tcBorders>
              <w:top w:val="single" w:color="auto" w:sz="4" w:space="0"/>
              <w:left w:val="single" w:color="auto" w:sz="4" w:space="0"/>
              <w:bottom w:val="single" w:color="auto" w:sz="4" w:space="0"/>
            </w:tcBorders>
            <w:vAlign w:val="center"/>
          </w:tcPr>
          <w:p w14:paraId="7A20639B">
            <w:pPr>
              <w:rPr>
                <w:rFonts w:hint="eastAsia" w:eastAsiaTheme="minorEastAsia"/>
                <w:lang w:val="en-US" w:eastAsia="zh-CN"/>
              </w:rPr>
            </w:pPr>
            <w:r>
              <w:rPr>
                <w:rFonts w:hint="eastAsia"/>
                <w:lang w:val="en-US" w:eastAsia="zh-CN"/>
              </w:rPr>
              <w:t>无</w:t>
            </w:r>
          </w:p>
        </w:tc>
      </w:tr>
      <w:tr w14:paraId="0DD414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1180" w:type="dxa"/>
            <w:tcBorders>
              <w:top w:val="single" w:color="auto" w:sz="4" w:space="0"/>
              <w:bottom w:val="single" w:color="auto" w:sz="4" w:space="0"/>
              <w:right w:val="single" w:color="auto" w:sz="4" w:space="0"/>
            </w:tcBorders>
            <w:vAlign w:val="center"/>
          </w:tcPr>
          <w:p w14:paraId="4F172BB6">
            <w:r>
              <w:rPr>
                <w:rFonts w:hint="eastAsia"/>
              </w:rPr>
              <w:t>服务地点</w:t>
            </w:r>
          </w:p>
        </w:tc>
        <w:tc>
          <w:tcPr>
            <w:tcW w:w="7166" w:type="dxa"/>
            <w:tcBorders>
              <w:top w:val="single" w:color="auto" w:sz="4" w:space="0"/>
              <w:left w:val="single" w:color="auto" w:sz="4" w:space="0"/>
              <w:bottom w:val="single" w:color="auto" w:sz="4" w:space="0"/>
            </w:tcBorders>
            <w:vAlign w:val="center"/>
          </w:tcPr>
          <w:p w14:paraId="6E97F9A1">
            <w:pPr>
              <w:rPr>
                <w:rFonts w:hint="default" w:eastAsiaTheme="minorEastAsia"/>
                <w:lang w:val="en-US" w:eastAsia="zh-CN"/>
              </w:rPr>
            </w:pPr>
            <w:r>
              <w:rPr>
                <w:rFonts w:hint="eastAsia"/>
                <w:lang w:val="en-US" w:eastAsia="zh-CN"/>
              </w:rPr>
              <w:t>浙江水利水电学院</w:t>
            </w:r>
          </w:p>
        </w:tc>
      </w:tr>
      <w:tr w14:paraId="23FA77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1180" w:type="dxa"/>
            <w:tcBorders>
              <w:top w:val="single" w:color="auto" w:sz="4" w:space="0"/>
              <w:bottom w:val="single" w:color="auto" w:sz="4" w:space="0"/>
              <w:right w:val="single" w:color="auto" w:sz="4" w:space="0"/>
            </w:tcBorders>
            <w:vAlign w:val="center"/>
          </w:tcPr>
          <w:p w14:paraId="5C6C5B8E">
            <w:pPr>
              <w:rPr>
                <w:rFonts w:hint="eastAsia" w:eastAsiaTheme="minorEastAsia"/>
                <w:color w:val="auto"/>
                <w:highlight w:val="none"/>
                <w:lang w:val="en-US" w:eastAsia="zh-CN"/>
              </w:rPr>
            </w:pPr>
            <w:r>
              <w:rPr>
                <w:rFonts w:hint="eastAsia"/>
                <w:color w:val="auto"/>
                <w:highlight w:val="none"/>
              </w:rPr>
              <w:t>验收标准</w:t>
            </w:r>
            <w:r>
              <w:rPr>
                <w:rFonts w:hint="eastAsia"/>
                <w:color w:val="auto"/>
                <w:highlight w:val="none"/>
                <w:lang w:val="en-US" w:eastAsia="zh-CN"/>
              </w:rPr>
              <w:t>及要求</w:t>
            </w:r>
          </w:p>
        </w:tc>
        <w:tc>
          <w:tcPr>
            <w:tcW w:w="7166" w:type="dxa"/>
            <w:tcBorders>
              <w:top w:val="single" w:color="auto" w:sz="4" w:space="0"/>
              <w:left w:val="single" w:color="auto" w:sz="4" w:space="0"/>
              <w:bottom w:val="single" w:color="auto" w:sz="4" w:space="0"/>
            </w:tcBorders>
            <w:vAlign w:val="center"/>
          </w:tcPr>
          <w:p w14:paraId="20C6955A">
            <w:pPr>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b w:val="0"/>
                <w:bCs w:val="0"/>
                <w:color w:val="auto"/>
                <w:kern w:val="2"/>
                <w:sz w:val="21"/>
                <w:szCs w:val="22"/>
                <w:highlight w:val="none"/>
                <w:lang w:val="en-US" w:eastAsia="zh-CN" w:bidi="ar-SA"/>
              </w:rPr>
            </w:pPr>
            <w:r>
              <w:rPr>
                <w:rFonts w:hint="eastAsia" w:asciiTheme="minorHAnsi" w:hAnsiTheme="minorHAnsi" w:eastAsiaTheme="minorEastAsia" w:cstheme="minorBidi"/>
                <w:b w:val="0"/>
                <w:bCs w:val="0"/>
                <w:color w:val="auto"/>
                <w:kern w:val="2"/>
                <w:sz w:val="21"/>
                <w:szCs w:val="22"/>
                <w:highlight w:val="none"/>
                <w:lang w:val="en-US" w:eastAsia="zh-CN" w:bidi="ar-SA"/>
              </w:rPr>
              <w:t>服务期满后，</w:t>
            </w:r>
            <w:r>
              <w:rPr>
                <w:rFonts w:hint="eastAsia"/>
                <w:color w:val="auto"/>
                <w:highlight w:val="none"/>
                <w:lang w:eastAsia="zh-CN"/>
              </w:rPr>
              <w:t>成交供应商</w:t>
            </w:r>
            <w:r>
              <w:rPr>
                <w:rFonts w:hint="eastAsia" w:asciiTheme="minorHAnsi" w:hAnsiTheme="minorHAnsi" w:eastAsiaTheme="minorEastAsia" w:cstheme="minorBidi"/>
                <w:b w:val="0"/>
                <w:bCs w:val="0"/>
                <w:color w:val="auto"/>
                <w:kern w:val="2"/>
                <w:sz w:val="21"/>
                <w:szCs w:val="22"/>
                <w:highlight w:val="none"/>
                <w:lang w:val="en-US" w:eastAsia="zh-CN" w:bidi="ar-SA"/>
              </w:rPr>
              <w:t>即可发起项目验收申请。</w:t>
            </w:r>
          </w:p>
          <w:p w14:paraId="3BC23207">
            <w:pPr>
              <w:widowControl/>
              <w:numPr>
                <w:ilvl w:val="0"/>
                <w:numId w:val="3"/>
              </w:numPr>
              <w:rPr>
                <w:rFonts w:hint="eastAsia"/>
                <w:color w:val="auto"/>
                <w:highlight w:val="none"/>
              </w:rPr>
            </w:pPr>
            <w:r>
              <w:rPr>
                <w:rFonts w:hint="eastAsia"/>
                <w:highlight w:val="none"/>
                <w:lang w:val="en-US" w:eastAsia="zh-CN"/>
              </w:rPr>
              <w:t>采购方</w:t>
            </w:r>
            <w:r>
              <w:rPr>
                <w:rFonts w:hint="eastAsia" w:asciiTheme="minorHAnsi" w:hAnsiTheme="minorHAnsi" w:eastAsiaTheme="minorEastAsia" w:cstheme="minorBidi"/>
                <w:b w:val="0"/>
                <w:bCs w:val="0"/>
                <w:color w:val="auto"/>
                <w:kern w:val="2"/>
                <w:sz w:val="21"/>
                <w:szCs w:val="22"/>
                <w:highlight w:val="none"/>
                <w:lang w:val="en-US" w:eastAsia="zh-CN" w:bidi="ar-SA"/>
              </w:rPr>
              <w:t>在收到</w:t>
            </w:r>
            <w:r>
              <w:rPr>
                <w:rFonts w:hint="eastAsia"/>
                <w:color w:val="auto"/>
                <w:highlight w:val="none"/>
                <w:lang w:eastAsia="zh-CN"/>
              </w:rPr>
              <w:t>成交供应商</w:t>
            </w:r>
            <w:r>
              <w:rPr>
                <w:rFonts w:hint="eastAsia" w:asciiTheme="minorHAnsi" w:hAnsiTheme="minorHAnsi" w:eastAsiaTheme="minorEastAsia" w:cstheme="minorBidi"/>
                <w:b w:val="0"/>
                <w:bCs w:val="0"/>
                <w:color w:val="auto"/>
                <w:kern w:val="2"/>
                <w:sz w:val="21"/>
                <w:szCs w:val="22"/>
                <w:highlight w:val="none"/>
                <w:lang w:val="en-US" w:eastAsia="zh-CN" w:bidi="ar-SA"/>
              </w:rPr>
              <w:t>的验收申请后负责组织验收，验收时</w:t>
            </w:r>
            <w:r>
              <w:rPr>
                <w:rFonts w:hint="eastAsia"/>
                <w:color w:val="auto"/>
                <w:highlight w:val="none"/>
                <w:lang w:eastAsia="zh-CN"/>
              </w:rPr>
              <w:t>成交供应商</w:t>
            </w:r>
            <w:r>
              <w:rPr>
                <w:rFonts w:hint="eastAsia" w:asciiTheme="minorHAnsi" w:hAnsiTheme="minorHAnsi" w:eastAsiaTheme="minorEastAsia" w:cstheme="minorBidi"/>
                <w:b w:val="0"/>
                <w:bCs w:val="0"/>
                <w:color w:val="auto"/>
                <w:kern w:val="2"/>
                <w:sz w:val="21"/>
                <w:szCs w:val="22"/>
                <w:highlight w:val="none"/>
                <w:lang w:val="en-US" w:eastAsia="zh-CN" w:bidi="ar-SA"/>
              </w:rPr>
              <w:t>需将服务项目的交付报告汇编成册，交付给</w:t>
            </w:r>
            <w:r>
              <w:rPr>
                <w:rFonts w:hint="eastAsia"/>
                <w:highlight w:val="none"/>
                <w:lang w:val="en-US" w:eastAsia="zh-CN"/>
              </w:rPr>
              <w:t>采购方</w:t>
            </w:r>
            <w:r>
              <w:rPr>
                <w:rFonts w:hint="eastAsia" w:asciiTheme="minorHAnsi" w:hAnsiTheme="minorHAnsi" w:eastAsiaTheme="minorEastAsia" w:cstheme="minorBidi"/>
                <w:b w:val="0"/>
                <w:bCs w:val="0"/>
                <w:color w:val="auto"/>
                <w:kern w:val="2"/>
                <w:sz w:val="21"/>
                <w:szCs w:val="22"/>
                <w:highlight w:val="none"/>
                <w:lang w:val="en-US" w:eastAsia="zh-CN" w:bidi="ar-SA"/>
              </w:rPr>
              <w:t>。</w:t>
            </w:r>
          </w:p>
        </w:tc>
      </w:tr>
      <w:tr w14:paraId="458FC8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1180" w:type="dxa"/>
            <w:tcBorders>
              <w:top w:val="single" w:color="auto" w:sz="4" w:space="0"/>
              <w:bottom w:val="single" w:color="auto" w:sz="4" w:space="0"/>
              <w:right w:val="single" w:color="auto" w:sz="4" w:space="0"/>
            </w:tcBorders>
            <w:vAlign w:val="center"/>
          </w:tcPr>
          <w:p w14:paraId="53EF05D1">
            <w:pPr>
              <w:rPr>
                <w:rFonts w:hint="eastAsia"/>
              </w:rPr>
            </w:pPr>
            <w:bookmarkStart w:id="4" w:name="OLE_LINK3" w:colFirst="0" w:colLast="0"/>
            <w:r>
              <w:rPr>
                <w:rFonts w:hint="eastAsia"/>
                <w:lang w:eastAsia="zh-CN"/>
              </w:rPr>
              <w:t>成交供应商</w:t>
            </w:r>
            <w:r>
              <w:rPr>
                <w:rFonts w:hint="eastAsia"/>
              </w:rPr>
              <w:t>资信及履约要求</w:t>
            </w:r>
          </w:p>
        </w:tc>
        <w:tc>
          <w:tcPr>
            <w:tcW w:w="7166" w:type="dxa"/>
            <w:tcBorders>
              <w:top w:val="single" w:color="auto" w:sz="4" w:space="0"/>
              <w:left w:val="single" w:color="auto" w:sz="4" w:space="0"/>
              <w:bottom w:val="single" w:color="auto" w:sz="4" w:space="0"/>
            </w:tcBorders>
            <w:vAlign w:val="center"/>
          </w:tcPr>
          <w:p w14:paraId="4762EE04">
            <w:pPr>
              <w:numPr>
                <w:ilvl w:val="0"/>
                <w:numId w:val="4"/>
              </w:numPr>
              <w:ind w:left="0" w:leftChars="0" w:firstLine="0" w:firstLineChars="0"/>
              <w:rPr>
                <w:rFonts w:hint="eastAsia"/>
                <w:highlight w:val="none"/>
                <w:lang w:val="en-US" w:eastAsia="zh-CN"/>
              </w:rPr>
            </w:pPr>
            <w:r>
              <w:rPr>
                <w:rFonts w:hint="eastAsia"/>
                <w:highlight w:val="none"/>
                <w:lang w:val="en-US" w:eastAsia="zh-CN"/>
              </w:rPr>
              <w:t>具有独立承担民事责任的能力；</w:t>
            </w:r>
          </w:p>
          <w:p w14:paraId="42F12762">
            <w:pPr>
              <w:numPr>
                <w:ilvl w:val="0"/>
                <w:numId w:val="4"/>
              </w:numPr>
              <w:ind w:left="0" w:leftChars="0" w:firstLine="0" w:firstLineChars="0"/>
              <w:rPr>
                <w:rFonts w:hint="eastAsia"/>
                <w:highlight w:val="none"/>
                <w:lang w:val="en-US" w:eastAsia="zh-CN"/>
              </w:rPr>
            </w:pPr>
            <w:r>
              <w:rPr>
                <w:rFonts w:hint="eastAsia"/>
                <w:highlight w:val="none"/>
                <w:lang w:val="en-US" w:eastAsia="zh-CN"/>
              </w:rPr>
              <w:t>具有履行合同所必须的设备和专业技术能力；</w:t>
            </w:r>
          </w:p>
          <w:p w14:paraId="12E8C41B">
            <w:pPr>
              <w:numPr>
                <w:ilvl w:val="0"/>
                <w:numId w:val="4"/>
              </w:numPr>
              <w:ind w:left="0" w:leftChars="0" w:firstLine="0" w:firstLineChars="0"/>
              <w:rPr>
                <w:highlight w:val="none"/>
              </w:rPr>
            </w:pPr>
            <w:r>
              <w:rPr>
                <w:rFonts w:hint="eastAsia"/>
                <w:highlight w:val="none"/>
                <w:lang w:val="en-US" w:eastAsia="zh-CN"/>
              </w:rPr>
              <w:t>参加此采购活动前三年内，在经营活动中没有重大违法失信记录。</w:t>
            </w:r>
          </w:p>
        </w:tc>
      </w:tr>
      <w:tr w14:paraId="641454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1180" w:type="dxa"/>
            <w:tcBorders>
              <w:top w:val="single" w:color="auto" w:sz="4" w:space="0"/>
              <w:bottom w:val="single" w:color="auto" w:sz="4" w:space="0"/>
              <w:right w:val="single" w:color="auto" w:sz="4" w:space="0"/>
            </w:tcBorders>
            <w:vAlign w:val="center"/>
          </w:tcPr>
          <w:p w14:paraId="22EE3ED6">
            <w:pPr>
              <w:rPr>
                <w:rFonts w:hint="eastAsia"/>
              </w:rPr>
            </w:pPr>
            <w:r>
              <w:rPr>
                <w:rFonts w:hint="eastAsia"/>
              </w:rPr>
              <w:t>违约责任</w:t>
            </w:r>
          </w:p>
        </w:tc>
        <w:tc>
          <w:tcPr>
            <w:tcW w:w="7166" w:type="dxa"/>
            <w:tcBorders>
              <w:top w:val="single" w:color="auto" w:sz="4" w:space="0"/>
              <w:left w:val="single" w:color="auto" w:sz="4" w:space="0"/>
              <w:bottom w:val="single" w:color="auto" w:sz="4" w:space="0"/>
            </w:tcBorders>
            <w:vAlign w:val="center"/>
          </w:tcPr>
          <w:p w14:paraId="2C28F83B">
            <w:pPr>
              <w:numPr>
                <w:ilvl w:val="0"/>
                <w:numId w:val="5"/>
              </w:numPr>
              <w:ind w:left="0" w:leftChars="0" w:firstLine="0" w:firstLineChars="0"/>
              <w:rPr>
                <w:rFonts w:hint="eastAsia"/>
                <w:highlight w:val="none"/>
                <w:lang w:val="en-US" w:eastAsia="zh-CN"/>
              </w:rPr>
            </w:pPr>
            <w:r>
              <w:rPr>
                <w:rFonts w:hint="eastAsia"/>
                <w:highlight w:val="none"/>
                <w:lang w:val="en-US" w:eastAsia="zh-CN"/>
              </w:rPr>
              <w:t>采购方无故逾期付款的，应按逾期付款金额的万分之五每日支付违约金。</w:t>
            </w:r>
          </w:p>
          <w:p w14:paraId="77AE8B83">
            <w:pPr>
              <w:numPr>
                <w:ilvl w:val="0"/>
                <w:numId w:val="5"/>
              </w:numPr>
              <w:ind w:left="0" w:leftChars="0" w:firstLine="0" w:firstLineChars="0"/>
              <w:rPr>
                <w:rFonts w:hint="eastAsia"/>
                <w:highlight w:val="none"/>
                <w:lang w:val="en-US" w:eastAsia="zh-CN"/>
              </w:rPr>
            </w:pPr>
            <w:r>
              <w:rPr>
                <w:rFonts w:hint="eastAsia"/>
                <w:highlight w:val="none"/>
                <w:lang w:val="en-US" w:eastAsia="zh-CN"/>
              </w:rPr>
              <w:t>成交供应商逾期履行合同义务的，应按合同总价款的千分之六每日（或每次）支付违约金。成交供应商逾期10日（或3次）及以上履行合同义务的，采购方有权解除本合同，拒付合同价款和要求成交供应商退还已收全款，同时成交供应商应按合同总价款的20％向采购方支付违约金，造成采购方损失的，成交供应商应承担赔偿责任。</w:t>
            </w:r>
          </w:p>
          <w:p w14:paraId="7B9777FF">
            <w:pPr>
              <w:numPr>
                <w:ilvl w:val="0"/>
                <w:numId w:val="5"/>
              </w:numPr>
              <w:ind w:left="0" w:leftChars="0" w:firstLine="0" w:firstLineChars="0"/>
              <w:rPr>
                <w:rFonts w:hint="eastAsia"/>
                <w:highlight w:val="none"/>
                <w:lang w:val="en-US" w:eastAsia="zh-CN"/>
              </w:rPr>
            </w:pPr>
            <w:r>
              <w:rPr>
                <w:rFonts w:hint="eastAsia"/>
                <w:highlight w:val="none"/>
                <w:lang w:val="en-US" w:eastAsia="zh-CN"/>
              </w:rPr>
              <w:t>因成交供应商其他违约行为导致采购方解除合同的，成交供应商应向采购方支付合同总价款20%的违约金，如造成采购方损失超过违约金的，超出部分由成交供应商继续承担赔偿责任。</w:t>
            </w:r>
          </w:p>
          <w:p w14:paraId="54EE959D">
            <w:pPr>
              <w:numPr>
                <w:ilvl w:val="0"/>
                <w:numId w:val="5"/>
              </w:numPr>
              <w:ind w:left="0" w:leftChars="0" w:firstLine="0" w:firstLineChars="0"/>
              <w:rPr>
                <w:rFonts w:hint="eastAsia"/>
                <w:highlight w:val="none"/>
                <w:lang w:val="en-US" w:eastAsia="zh-CN"/>
              </w:rPr>
            </w:pPr>
            <w:r>
              <w:rPr>
                <w:rFonts w:hint="eastAsia"/>
                <w:highlight w:val="none"/>
                <w:lang w:val="en-US" w:eastAsia="zh-CN"/>
              </w:rPr>
              <w:t>除本合同另有约定除外，成交供应商逾期履行合同义务，应向采购方支付合同总价的万分之五每天的违约金，逾期20天以上的，采购方有权解除合同，并有权要求成交供应商退还已收款项，支付合同总价20%的违约金。</w:t>
            </w:r>
          </w:p>
          <w:p w14:paraId="27F8DD5D">
            <w:pPr>
              <w:numPr>
                <w:ilvl w:val="0"/>
                <w:numId w:val="5"/>
              </w:numPr>
              <w:ind w:left="0" w:leftChars="0" w:firstLine="0" w:firstLineChars="0"/>
              <w:rPr>
                <w:highlight w:val="none"/>
              </w:rPr>
            </w:pPr>
            <w:r>
              <w:rPr>
                <w:rFonts w:hint="eastAsia"/>
                <w:highlight w:val="none"/>
                <w:lang w:val="en-US" w:eastAsia="zh-CN"/>
              </w:rPr>
              <w:t>成交供应商履行本合同侵犯第三方著作权的，成交供应商应承担包括但不限于侵权赔偿款、向采购方退还全部合同价款、向采购方支付合同总价20%的违约金、承担因诉讼（仲裁）支出的诉讼（仲裁）费、律师费等责任。</w:t>
            </w:r>
          </w:p>
        </w:tc>
      </w:tr>
      <w:bookmarkEnd w:id="4"/>
      <w:tr w14:paraId="70E83C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1180" w:type="dxa"/>
            <w:tcBorders>
              <w:top w:val="single" w:color="auto" w:sz="4" w:space="0"/>
              <w:bottom w:val="single" w:color="auto" w:sz="4" w:space="0"/>
              <w:right w:val="single" w:color="auto" w:sz="4" w:space="0"/>
            </w:tcBorders>
            <w:vAlign w:val="center"/>
          </w:tcPr>
          <w:p w14:paraId="0B1FB6F6">
            <w:pPr>
              <w:rPr>
                <w:rFonts w:hint="eastAsia"/>
              </w:rPr>
            </w:pPr>
            <w:r>
              <w:rPr>
                <w:rFonts w:hint="eastAsia"/>
              </w:rPr>
              <w:t>付款方式</w:t>
            </w:r>
          </w:p>
        </w:tc>
        <w:tc>
          <w:tcPr>
            <w:tcW w:w="7166" w:type="dxa"/>
            <w:tcBorders>
              <w:top w:val="single" w:color="auto" w:sz="4" w:space="0"/>
              <w:left w:val="single" w:color="auto" w:sz="4" w:space="0"/>
              <w:bottom w:val="single" w:color="auto" w:sz="4" w:space="0"/>
            </w:tcBorders>
            <w:vAlign w:val="center"/>
          </w:tcPr>
          <w:p w14:paraId="6AC38C60">
            <w:pPr>
              <w:numPr>
                <w:ilvl w:val="0"/>
                <w:numId w:val="6"/>
              </w:numPr>
              <w:ind w:left="0" w:leftChars="0" w:firstLine="0" w:firstLineChars="0"/>
              <w:rPr>
                <w:rFonts w:hint="eastAsia"/>
                <w:b w:val="0"/>
                <w:bCs w:val="0"/>
                <w:highlight w:val="none"/>
                <w:lang w:val="en-US" w:eastAsia="zh-CN"/>
              </w:rPr>
            </w:pPr>
            <w:r>
              <w:rPr>
                <w:rFonts w:hint="eastAsia"/>
                <w:highlight w:val="none"/>
                <w:lang w:val="en-US" w:eastAsia="zh-CN"/>
              </w:rPr>
              <w:t>合同生效后，在成交供应商提供原厂续保起止日期内的许可授权和硬件质保服务承诺函后，采购方向成交供应商支付合同总额的</w:t>
            </w:r>
            <w:r>
              <w:rPr>
                <w:rFonts w:hint="eastAsia"/>
                <w:b w:val="0"/>
                <w:bCs w:val="0"/>
                <w:highlight w:val="none"/>
                <w:lang w:val="en-US" w:eastAsia="zh-CN"/>
              </w:rPr>
              <w:t>50%；</w:t>
            </w:r>
          </w:p>
          <w:p w14:paraId="073A596C">
            <w:pPr>
              <w:numPr>
                <w:ilvl w:val="0"/>
                <w:numId w:val="6"/>
              </w:numPr>
              <w:ind w:left="0" w:leftChars="0" w:firstLine="0" w:firstLineChars="0"/>
              <w:rPr>
                <w:highlight w:val="none"/>
              </w:rPr>
            </w:pPr>
            <w:r>
              <w:rPr>
                <w:rFonts w:hint="eastAsia"/>
                <w:b w:val="0"/>
                <w:bCs w:val="0"/>
                <w:highlight w:val="none"/>
                <w:lang w:val="en-US" w:eastAsia="zh-CN"/>
              </w:rPr>
              <w:t>服务期满，成交供应商完成服务并经采购方验收合格后，采购方自完成付款审批流程之日起7个工作日内向成交供应商支付合同</w:t>
            </w:r>
            <w:r>
              <w:rPr>
                <w:rFonts w:hint="eastAsia"/>
                <w:highlight w:val="none"/>
                <w:lang w:val="en-US" w:eastAsia="zh-CN"/>
              </w:rPr>
              <w:t>总额的</w:t>
            </w:r>
            <w:r>
              <w:rPr>
                <w:rFonts w:hint="eastAsia"/>
                <w:b w:val="0"/>
                <w:bCs w:val="0"/>
                <w:highlight w:val="none"/>
                <w:lang w:val="en-US" w:eastAsia="zh-CN"/>
              </w:rPr>
              <w:t>50%</w:t>
            </w:r>
            <w:r>
              <w:rPr>
                <w:rFonts w:hint="eastAsia"/>
                <w:highlight w:val="none"/>
                <w:lang w:val="en-US" w:eastAsia="zh-CN"/>
              </w:rPr>
              <w:t>。</w:t>
            </w:r>
          </w:p>
        </w:tc>
      </w:tr>
      <w:tr w14:paraId="73F6AE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1180" w:type="dxa"/>
            <w:tcBorders>
              <w:top w:val="single" w:color="auto" w:sz="4" w:space="0"/>
              <w:bottom w:val="single" w:color="auto" w:sz="4" w:space="0"/>
              <w:right w:val="single" w:color="auto" w:sz="4" w:space="0"/>
            </w:tcBorders>
            <w:vAlign w:val="center"/>
          </w:tcPr>
          <w:p w14:paraId="0FC08F22">
            <w:pPr>
              <w:rPr>
                <w:rFonts w:hint="eastAsia"/>
              </w:rPr>
            </w:pPr>
            <w:r>
              <w:rPr>
                <w:rFonts w:hint="eastAsia"/>
              </w:rPr>
              <w:t>履约保证金</w:t>
            </w:r>
          </w:p>
        </w:tc>
        <w:tc>
          <w:tcPr>
            <w:tcW w:w="7166" w:type="dxa"/>
            <w:tcBorders>
              <w:top w:val="single" w:color="auto" w:sz="4" w:space="0"/>
              <w:left w:val="single" w:color="auto" w:sz="4" w:space="0"/>
              <w:bottom w:val="single" w:color="auto" w:sz="4" w:space="0"/>
            </w:tcBorders>
            <w:vAlign w:val="center"/>
          </w:tcPr>
          <w:p w14:paraId="2131EF13">
            <w:pPr>
              <w:rPr>
                <w:rFonts w:hint="eastAsia" w:eastAsiaTheme="minorEastAsia"/>
                <w:lang w:val="en-US" w:eastAsia="zh-CN"/>
              </w:rPr>
            </w:pPr>
            <w:r>
              <w:rPr>
                <w:rFonts w:hint="eastAsia"/>
                <w:lang w:val="en-US" w:eastAsia="zh-CN"/>
              </w:rPr>
              <w:t>无</w:t>
            </w:r>
          </w:p>
        </w:tc>
      </w:tr>
    </w:tbl>
    <w:p w14:paraId="67941251">
      <w:bookmarkStart w:id="5" w:name="_Toc417054474"/>
      <w:bookmarkStart w:id="6" w:name="_Toc432621837"/>
      <w:bookmarkStart w:id="7" w:name="_Toc417054391"/>
      <w:bookmarkStart w:id="8" w:name="_Toc18877"/>
      <w:bookmarkStart w:id="9" w:name="_Toc7858"/>
    </w:p>
    <w:p w14:paraId="67E81BBE">
      <w:pPr>
        <w:rPr>
          <w:b/>
        </w:rPr>
      </w:pPr>
      <w:r>
        <w:rPr>
          <w:rFonts w:hint="eastAsia"/>
          <w:b/>
          <w:lang w:val="en-US" w:eastAsia="zh-CN"/>
        </w:rPr>
        <w:t>四</w:t>
      </w:r>
      <w:r>
        <w:rPr>
          <w:rFonts w:hint="eastAsia"/>
          <w:b/>
        </w:rPr>
        <w:t>、重要说明</w:t>
      </w:r>
      <w:bookmarkEnd w:id="5"/>
      <w:bookmarkEnd w:id="6"/>
      <w:bookmarkEnd w:id="7"/>
      <w:bookmarkEnd w:id="8"/>
      <w:bookmarkEnd w:id="9"/>
    </w:p>
    <w:p w14:paraId="7212F274">
      <w:r>
        <w:rPr>
          <w:rFonts w:hint="eastAsia"/>
        </w:rPr>
        <w:t>1.</w:t>
      </w:r>
      <w:r>
        <w:t xml:space="preserve"> </w:t>
      </w:r>
      <w:r>
        <w:rPr>
          <w:rFonts w:hint="eastAsia"/>
          <w:lang w:eastAsia="zh-CN"/>
        </w:rPr>
        <w:t>成交供应商</w:t>
      </w:r>
      <w:r>
        <w:rPr>
          <w:rFonts w:hint="eastAsia"/>
        </w:rPr>
        <w:t>必须根据采购人提供的信息予以响应，质量必须达到或高于采购的要求。</w:t>
      </w:r>
    </w:p>
    <w:p w14:paraId="30C47840">
      <w:r>
        <w:rPr>
          <w:rFonts w:hint="eastAsia"/>
        </w:rPr>
        <w:t>2. 采购文件中的</w:t>
      </w:r>
      <w:r>
        <w:rPr>
          <w:rFonts w:hint="eastAsia"/>
          <w:lang w:val="en-US" w:eastAsia="zh-CN"/>
        </w:rPr>
        <w:t>服务要求</w:t>
      </w:r>
      <w:r>
        <w:rPr>
          <w:rFonts w:hint="eastAsia"/>
        </w:rPr>
        <w:t>参数只是采购人提出的一些原则性参数，并不是详尽的要求，</w:t>
      </w:r>
      <w:r>
        <w:rPr>
          <w:rFonts w:hint="eastAsia"/>
          <w:lang w:eastAsia="zh-CN"/>
        </w:rPr>
        <w:t>成交供应商</w:t>
      </w:r>
      <w:r>
        <w:rPr>
          <w:rFonts w:hint="eastAsia"/>
        </w:rPr>
        <w:t>有责任完善对提供</w:t>
      </w:r>
      <w:r>
        <w:rPr>
          <w:rFonts w:hint="eastAsia"/>
          <w:lang w:val="en-US" w:eastAsia="zh-CN"/>
        </w:rPr>
        <w:t>服务</w:t>
      </w:r>
      <w:r>
        <w:rPr>
          <w:rFonts w:hint="eastAsia"/>
        </w:rPr>
        <w:t>的</w:t>
      </w:r>
      <w:r>
        <w:rPr>
          <w:rFonts w:hint="eastAsia"/>
          <w:lang w:val="en-US" w:eastAsia="zh-CN"/>
        </w:rPr>
        <w:t>详细</w:t>
      </w:r>
      <w:r>
        <w:rPr>
          <w:rFonts w:hint="eastAsia"/>
        </w:rPr>
        <w:t>说明。</w:t>
      </w:r>
    </w:p>
    <w:p w14:paraId="2F3B0527">
      <w:r>
        <w:rPr>
          <w:rFonts w:hint="eastAsia"/>
        </w:rPr>
        <w:t xml:space="preserve">3. </w:t>
      </w:r>
      <w:r>
        <w:rPr>
          <w:rFonts w:hint="eastAsia"/>
          <w:lang w:eastAsia="zh-CN"/>
        </w:rPr>
        <w:t>成交供应商</w:t>
      </w:r>
      <w:r>
        <w:rPr>
          <w:rFonts w:hint="eastAsia"/>
        </w:rPr>
        <w:t>提供的</w:t>
      </w:r>
      <w:r>
        <w:rPr>
          <w:rFonts w:hint="eastAsia"/>
          <w:lang w:val="en-US" w:eastAsia="zh-CN"/>
        </w:rPr>
        <w:t>服务</w:t>
      </w:r>
      <w:r>
        <w:rPr>
          <w:rFonts w:hint="eastAsia"/>
        </w:rPr>
        <w:t>在使用过程中因质量问题影响采购人的正常使用，要负相应责任，并向采购人赔偿损失，采购人有权向相关管理部门进行投诉。</w:t>
      </w:r>
    </w:p>
    <w:p w14:paraId="08638C9A">
      <w:r>
        <w:rPr>
          <w:rFonts w:hint="eastAsia"/>
        </w:rPr>
        <w:t xml:space="preserve">4. </w:t>
      </w:r>
      <w:r>
        <w:rPr>
          <w:rFonts w:hint="eastAsia"/>
          <w:lang w:eastAsia="zh-CN"/>
        </w:rPr>
        <w:t>成交供应商</w:t>
      </w:r>
      <w:r>
        <w:rPr>
          <w:rFonts w:hint="eastAsia"/>
        </w:rPr>
        <w:t>须保证所提供的</w:t>
      </w:r>
      <w:r>
        <w:rPr>
          <w:rFonts w:hint="eastAsia"/>
          <w:lang w:val="en-US" w:eastAsia="zh-CN"/>
        </w:rPr>
        <w:t>服务</w:t>
      </w:r>
      <w:r>
        <w:rPr>
          <w:rFonts w:hint="eastAsia"/>
        </w:rPr>
        <w:t>包括相关附件</w:t>
      </w:r>
      <w:r>
        <w:rPr>
          <w:rFonts w:hint="eastAsia"/>
          <w:lang w:val="en-US" w:eastAsia="zh-CN"/>
        </w:rPr>
        <w:t>应</w:t>
      </w:r>
      <w:r>
        <w:rPr>
          <w:rFonts w:hint="eastAsia"/>
        </w:rPr>
        <w:t>符合国家有关规定</w:t>
      </w:r>
      <w:r>
        <w:rPr>
          <w:rFonts w:hint="eastAsia"/>
          <w:lang w:eastAsia="zh-CN"/>
        </w:rPr>
        <w:t>，</w:t>
      </w:r>
      <w:r>
        <w:rPr>
          <w:rFonts w:hint="eastAsia"/>
        </w:rPr>
        <w:t>应由</w:t>
      </w:r>
      <w:r>
        <w:rPr>
          <w:rFonts w:hint="eastAsia"/>
          <w:lang w:eastAsia="zh-CN"/>
        </w:rPr>
        <w:t>成交供应商</w:t>
      </w:r>
      <w:r>
        <w:rPr>
          <w:rFonts w:hint="eastAsia"/>
        </w:rPr>
        <w:t>负责，采购人不承担责任。</w:t>
      </w:r>
    </w:p>
    <w:p w14:paraId="2F092BCE">
      <w:pPr>
        <w:spacing w:line="276"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2BCA7"/>
    <w:multiLevelType w:val="singleLevel"/>
    <w:tmpl w:val="E0A2BCA7"/>
    <w:lvl w:ilvl="0" w:tentative="0">
      <w:start w:val="1"/>
      <w:numFmt w:val="decimal"/>
      <w:lvlText w:val="%1."/>
      <w:lvlJc w:val="left"/>
      <w:pPr>
        <w:tabs>
          <w:tab w:val="left" w:pos="312"/>
        </w:tabs>
      </w:pPr>
    </w:lvl>
  </w:abstractNum>
  <w:abstractNum w:abstractNumId="1">
    <w:nsid w:val="EE31EBB2"/>
    <w:multiLevelType w:val="singleLevel"/>
    <w:tmpl w:val="EE31EBB2"/>
    <w:lvl w:ilvl="0" w:tentative="0">
      <w:start w:val="1"/>
      <w:numFmt w:val="decimal"/>
      <w:lvlText w:val="%1."/>
      <w:lvlJc w:val="left"/>
      <w:pPr>
        <w:tabs>
          <w:tab w:val="left" w:pos="312"/>
        </w:tabs>
      </w:pPr>
    </w:lvl>
  </w:abstractNum>
  <w:abstractNum w:abstractNumId="2">
    <w:nsid w:val="F14644B9"/>
    <w:multiLevelType w:val="singleLevel"/>
    <w:tmpl w:val="F14644B9"/>
    <w:lvl w:ilvl="0" w:tentative="0">
      <w:start w:val="1"/>
      <w:numFmt w:val="decimal"/>
      <w:lvlText w:val="%1."/>
      <w:lvlJc w:val="left"/>
      <w:pPr>
        <w:tabs>
          <w:tab w:val="left" w:pos="312"/>
        </w:tabs>
      </w:pPr>
    </w:lvl>
  </w:abstractNum>
  <w:abstractNum w:abstractNumId="3">
    <w:nsid w:val="3112D56C"/>
    <w:multiLevelType w:val="singleLevel"/>
    <w:tmpl w:val="3112D56C"/>
    <w:lvl w:ilvl="0" w:tentative="0">
      <w:start w:val="1"/>
      <w:numFmt w:val="decimal"/>
      <w:lvlText w:val="%1."/>
      <w:lvlJc w:val="left"/>
      <w:pPr>
        <w:tabs>
          <w:tab w:val="left" w:pos="312"/>
        </w:tabs>
      </w:pPr>
    </w:lvl>
  </w:abstractNum>
  <w:abstractNum w:abstractNumId="4">
    <w:nsid w:val="32A53131"/>
    <w:multiLevelType w:val="singleLevel"/>
    <w:tmpl w:val="32A53131"/>
    <w:lvl w:ilvl="0" w:tentative="0">
      <w:start w:val="1"/>
      <w:numFmt w:val="decimal"/>
      <w:lvlText w:val="%1."/>
      <w:lvlJc w:val="left"/>
      <w:pPr>
        <w:tabs>
          <w:tab w:val="left" w:pos="312"/>
        </w:tabs>
      </w:pPr>
    </w:lvl>
  </w:abstractNum>
  <w:abstractNum w:abstractNumId="5">
    <w:nsid w:val="51CAA0BA"/>
    <w:multiLevelType w:val="singleLevel"/>
    <w:tmpl w:val="51CAA0BA"/>
    <w:lvl w:ilvl="0" w:tentative="0">
      <w:start w:val="1"/>
      <w:numFmt w:val="decimal"/>
      <w:lvlText w:val="%1."/>
      <w:lvlJc w:val="left"/>
      <w:pPr>
        <w:tabs>
          <w:tab w:val="left" w:pos="312"/>
        </w:tabs>
      </w:pPr>
    </w:lvl>
  </w:abstractNum>
  <w:num w:numId="1">
    <w:abstractNumId w:val="0"/>
  </w:num>
  <w:num w:numId="2">
    <w:abstractNumId w:val="5"/>
  </w:num>
  <w:num w:numId="3">
    <w:abstractNumId w:val="3"/>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65B"/>
    <w:rsid w:val="00151708"/>
    <w:rsid w:val="001E56B1"/>
    <w:rsid w:val="002125BD"/>
    <w:rsid w:val="00213F06"/>
    <w:rsid w:val="00240D5E"/>
    <w:rsid w:val="00255CF9"/>
    <w:rsid w:val="003F0BCB"/>
    <w:rsid w:val="00590FA6"/>
    <w:rsid w:val="005E550C"/>
    <w:rsid w:val="00794646"/>
    <w:rsid w:val="0084003E"/>
    <w:rsid w:val="0087054C"/>
    <w:rsid w:val="008A4934"/>
    <w:rsid w:val="008F3DBB"/>
    <w:rsid w:val="00A02E7B"/>
    <w:rsid w:val="00B43932"/>
    <w:rsid w:val="00BC5439"/>
    <w:rsid w:val="00ED22B8"/>
    <w:rsid w:val="00F3465B"/>
    <w:rsid w:val="043A7135"/>
    <w:rsid w:val="05AD4EA9"/>
    <w:rsid w:val="0C5721AA"/>
    <w:rsid w:val="0CAF0AE2"/>
    <w:rsid w:val="0FE3529E"/>
    <w:rsid w:val="13596A4B"/>
    <w:rsid w:val="19AA0D0E"/>
    <w:rsid w:val="1B6B2A8E"/>
    <w:rsid w:val="1BC60561"/>
    <w:rsid w:val="20014C26"/>
    <w:rsid w:val="214E3302"/>
    <w:rsid w:val="21BE151D"/>
    <w:rsid w:val="262B0B7B"/>
    <w:rsid w:val="276B56D3"/>
    <w:rsid w:val="2AD13C21"/>
    <w:rsid w:val="2DD62489"/>
    <w:rsid w:val="2DE71F10"/>
    <w:rsid w:val="2E2F188B"/>
    <w:rsid w:val="2EB81CD6"/>
    <w:rsid w:val="2F964B55"/>
    <w:rsid w:val="306A7361"/>
    <w:rsid w:val="325374E4"/>
    <w:rsid w:val="34825E0A"/>
    <w:rsid w:val="363939D6"/>
    <w:rsid w:val="3A671DF2"/>
    <w:rsid w:val="3B2E1030"/>
    <w:rsid w:val="3B6A7B5C"/>
    <w:rsid w:val="3D380423"/>
    <w:rsid w:val="3E1F62B7"/>
    <w:rsid w:val="3E431DD5"/>
    <w:rsid w:val="3FED3181"/>
    <w:rsid w:val="40FA3CDE"/>
    <w:rsid w:val="436E5551"/>
    <w:rsid w:val="48355C72"/>
    <w:rsid w:val="4ACB44D9"/>
    <w:rsid w:val="4B5C3ACC"/>
    <w:rsid w:val="4BCB1AED"/>
    <w:rsid w:val="4C816CB9"/>
    <w:rsid w:val="4E561001"/>
    <w:rsid w:val="4E635F7C"/>
    <w:rsid w:val="52B96A43"/>
    <w:rsid w:val="5424767D"/>
    <w:rsid w:val="571C4694"/>
    <w:rsid w:val="59EE5A04"/>
    <w:rsid w:val="5E8D7520"/>
    <w:rsid w:val="619E67BE"/>
    <w:rsid w:val="62AA63A9"/>
    <w:rsid w:val="64215CDA"/>
    <w:rsid w:val="64D00857"/>
    <w:rsid w:val="654316CF"/>
    <w:rsid w:val="670E33AA"/>
    <w:rsid w:val="6ADC2639"/>
    <w:rsid w:val="6F9F7969"/>
    <w:rsid w:val="70344842"/>
    <w:rsid w:val="729F75AC"/>
    <w:rsid w:val="72BE29C4"/>
    <w:rsid w:val="742A446A"/>
    <w:rsid w:val="74B21803"/>
    <w:rsid w:val="757E3B43"/>
    <w:rsid w:val="75B70F15"/>
    <w:rsid w:val="7A571A7B"/>
    <w:rsid w:val="7B2E771F"/>
    <w:rsid w:val="7DE939CB"/>
    <w:rsid w:val="7E180240"/>
    <w:rsid w:val="7E1B2C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w:basedOn w:val="1"/>
    <w:next w:val="1"/>
    <w:qFormat/>
    <w:uiPriority w:val="0"/>
    <w:pPr>
      <w:spacing w:after="120"/>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table" w:customStyle="1" w:styleId="11">
    <w:name w:val="Table Normal"/>
    <w:basedOn w:val="6"/>
    <w:qFormat/>
    <w:uiPriority w:val="0"/>
    <w:rPr>
      <w:rFonts w:ascii="Arial" w:hAnsi="Arial" w:cs="Arial"/>
    </w:rPr>
    <w:tblPr>
      <w:tblCellMar>
        <w:left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2215</Words>
  <Characters>2287</Characters>
  <Lines>7</Lines>
  <Paragraphs>2</Paragraphs>
  <TotalTime>3879</TotalTime>
  <ScaleCrop>false</ScaleCrop>
  <LinksUpToDate>false</LinksUpToDate>
  <CharactersWithSpaces>2292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2024-05-28T03:41:00Z</dcterms:created>
  <dc:creator>Dell</dc:creator>
  <cp:lastModifiedBy>青</cp:lastModifiedBy>
  <dcterms:modified xsi:type="dcterms:W3CDTF">2026-09-14T00:23:58Z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eyJoZGlkIjoiNmNlNmY5NDM2ZTgwMjMxNjc3OTE5ZmM5NjlmMTE2YWMiLCJ1c2VySWQiOiI2NDY0MzU1NzMifQ==</vt:lpwstr>
  </property>
  <property fmtid="{D5CDD505-2E9C-101B-9397-08002B2CF9AE}" pid="3" name="KSOProductBuildVer">
    <vt:lpwstr>2052-12.1.0.28505</vt:lpwstr>
  </property>
  <property fmtid="{D5CDD505-2E9C-101B-9397-08002B2CF9AE}" pid="4" name="ICV">
    <vt:lpwstr>6E0B59CA35A94B19AE3C34E18E394083_13</vt:lpwstr>
  </property>
</Properties>
</file>